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410" w:rsidRDefault="00623410"/>
    <w:p w:rsidR="00C81571" w:rsidRPr="00C81571" w:rsidRDefault="00C81571" w:rsidP="00C81571">
      <w:pPr>
        <w:spacing w:after="20"/>
        <w:textAlignment w:val="baseline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Demande </w:t>
      </w:r>
      <w:r w:rsidR="00A37EA2">
        <w:rPr>
          <w:rFonts w:ascii="Calibri" w:hAnsi="Calibri" w:cs="Arial"/>
          <w:b/>
          <w:sz w:val="28"/>
          <w:szCs w:val="28"/>
        </w:rPr>
        <w:t xml:space="preserve">individuelle </w:t>
      </w:r>
      <w:r>
        <w:rPr>
          <w:rFonts w:ascii="Calibri" w:hAnsi="Calibri" w:cs="Arial"/>
          <w:b/>
          <w:sz w:val="28"/>
          <w:szCs w:val="28"/>
        </w:rPr>
        <w:t xml:space="preserve">de </w:t>
      </w:r>
      <w:r w:rsidR="00A37EA2">
        <w:rPr>
          <w:rFonts w:ascii="Calibri" w:hAnsi="Calibri" w:cs="Arial"/>
          <w:b/>
          <w:sz w:val="28"/>
          <w:szCs w:val="28"/>
        </w:rPr>
        <w:t>p</w:t>
      </w:r>
      <w:r w:rsidRPr="00C81571">
        <w:rPr>
          <w:rFonts w:ascii="Calibri" w:hAnsi="Calibri" w:cs="Arial"/>
          <w:b/>
          <w:sz w:val="28"/>
          <w:szCs w:val="28"/>
        </w:rPr>
        <w:t>aiement des équivalences nuit</w:t>
      </w:r>
    </w:p>
    <w:p w:rsidR="007A244F" w:rsidRDefault="007A244F" w:rsidP="00C81571">
      <w:pPr>
        <w:jc w:val="center"/>
        <w:rPr>
          <w:rFonts w:ascii="Calibri" w:hAnsi="Calibri"/>
          <w:sz w:val="28"/>
          <w:szCs w:val="28"/>
        </w:rPr>
      </w:pPr>
      <w:r w:rsidRPr="007A244F"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F887D8" wp14:editId="26802749">
                <wp:simplePos x="0" y="0"/>
                <wp:positionH relativeFrom="column">
                  <wp:posOffset>-71659</wp:posOffset>
                </wp:positionH>
                <wp:positionV relativeFrom="paragraph">
                  <wp:posOffset>143222</wp:posOffset>
                </wp:positionV>
                <wp:extent cx="5960853" cy="3614468"/>
                <wp:effectExtent l="0" t="0" r="20955" b="2413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0853" cy="36144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44F" w:rsidRPr="00874D4A" w:rsidRDefault="00874D4A" w:rsidP="007A244F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trike/>
                                <w:sz w:val="22"/>
                                <w:szCs w:val="22"/>
                              </w:rPr>
                            </w:pPr>
                            <w:r w:rsidRPr="00874D4A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Le régime des équivalences</w:t>
                            </w:r>
                          </w:p>
                          <w:p w:rsidR="00A37EA2" w:rsidRPr="00A37EA2" w:rsidRDefault="007A244F" w:rsidP="00A37EA2">
                            <w:pPr>
                              <w:jc w:val="both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874D4A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>Contexte d’utilisation du régime des équivalences</w:t>
                            </w:r>
                            <w:r w:rsidRPr="00874D4A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 </w:t>
                            </w:r>
                            <w:r w:rsidRPr="00874D4A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874D4A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7EA2" w:rsidRPr="00A37EA2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L’article 5.6 de la convention Collective Nationale de l’Animation met en place un régime d’équivalence pour les personnels amenés à travailler </w:t>
                            </w:r>
                            <w:r w:rsidR="00A37EA2" w:rsidRPr="00A37EA2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</w:rPr>
                              <w:t xml:space="preserve">dans le cadre d’accompagnement de groupes avec nuitée, </w:t>
                            </w:r>
                            <w:r w:rsidR="00A37EA2" w:rsidRPr="00A37EA2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comprenant des périodes de travail et d’inactivité ne permettant pas un décompte précis des heures réellement travaillées.</w:t>
                            </w:r>
                          </w:p>
                          <w:p w:rsidR="007A244F" w:rsidRPr="00874D4A" w:rsidRDefault="007A244F" w:rsidP="00A37EA2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74D4A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>Rappel sur les règles conventionnelles de l’équivalence jour :</w:t>
                            </w:r>
                          </w:p>
                          <w:p w:rsidR="007A244F" w:rsidRPr="00874D4A" w:rsidRDefault="007A244F" w:rsidP="007A244F">
                            <w:pPr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Theme="minorHAnsi" w:hAnsiTheme="minorHAnsi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874D4A">
                              <w:rPr>
                                <w:rFonts w:asciiTheme="minorHAnsi" w:hAnsiTheme="minorHAnsi"/>
                                <w:spacing w:val="-6"/>
                                <w:sz w:val="18"/>
                                <w:szCs w:val="18"/>
                              </w:rPr>
                              <w:t>Equivalence jour : 13 heures de présence = rémunération sur la base de 7 heures effectives</w:t>
                            </w:r>
                          </w:p>
                          <w:p w:rsidR="007A244F" w:rsidRPr="00874D4A" w:rsidRDefault="007A244F" w:rsidP="007A244F">
                            <w:pPr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Theme="minorHAnsi" w:hAnsiTheme="minorHAnsi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874D4A">
                              <w:rPr>
                                <w:rFonts w:asciiTheme="minorHAnsi" w:hAnsiTheme="minorHAnsi"/>
                                <w:spacing w:val="-6"/>
                                <w:sz w:val="18"/>
                                <w:szCs w:val="18"/>
                              </w:rPr>
                              <w:t>Au-delà de 5 équivalences jour par semaine civile (soit 65 heures), toutes les heures effectuées au-delà sont considérée comme des heures supplémentaires.</w:t>
                            </w:r>
                          </w:p>
                          <w:p w:rsidR="007A244F" w:rsidRPr="00874D4A" w:rsidRDefault="00A37EA2" w:rsidP="007A244F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tabs>
                                <w:tab w:val="num" w:pos="720"/>
                              </w:tabs>
                              <w:jc w:val="both"/>
                              <w:rPr>
                                <w:rFonts w:asciiTheme="minorHAnsi" w:hAnsiTheme="minorHAnsi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A37EA2">
                              <w:rPr>
                                <w:rFonts w:asciiTheme="minorHAnsi" w:hAnsiTheme="minorHAnsi" w:cs="Arial"/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806B807" wp14:editId="34CEDC81">
                                  <wp:extent cx="234824" cy="250166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4044253b1a90c6d25ca34e7_Dessin_BD_Ampoule_Idee_Benoitdesine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833" cy="2533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A244F" w:rsidRPr="00874D4A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 xml:space="preserve"> La durée hebdomadaire du travail effectif doit en principe permettre d’assurer à chaque salarié deux jours de repos consécutif. Une dérogation est possible mais en tout état de cause, le salarié doit bénéficier d’</w:t>
                            </w:r>
                            <w:r w:rsidR="007A244F" w:rsidRPr="00874D4A"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</w:rPr>
                              <w:t>au</w:t>
                            </w:r>
                            <w:r w:rsidR="007A244F" w:rsidRPr="00874D4A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A244F" w:rsidRPr="00874D4A"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</w:rPr>
                              <w:t xml:space="preserve">moins 1 jour de repos hebdomadaire </w:t>
                            </w:r>
                            <w:r w:rsidR="007A244F" w:rsidRPr="00874D4A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par semaine civile (du lundi au dimanche).</w:t>
                            </w:r>
                          </w:p>
                          <w:p w:rsidR="007A244F" w:rsidRDefault="007A244F" w:rsidP="007A244F">
                            <w:pPr>
                              <w:spacing w:before="120"/>
                              <w:jc w:val="both"/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74D4A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Dispositions EEDF pour les équivalences nuit issues de la NAO de 2012 : </w:t>
                            </w:r>
                          </w:p>
                          <w:p w:rsidR="00874D4A" w:rsidRPr="00874D4A" w:rsidRDefault="00874D4A" w:rsidP="00874D4A">
                            <w:pPr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Theme="minorHAnsi" w:hAnsiTheme="minorHAnsi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874D4A">
                              <w:rPr>
                                <w:rFonts w:asciiTheme="minorHAnsi" w:hAnsiTheme="minorHAnsi"/>
                                <w:spacing w:val="-6"/>
                                <w:sz w:val="18"/>
                                <w:szCs w:val="18"/>
                              </w:rPr>
                              <w:t>Equivalence nuit : 11 heures de présence = rémunération sur la base de 3h30 heures effectives</w:t>
                            </w:r>
                          </w:p>
                          <w:p w:rsidR="00874D4A" w:rsidRDefault="00A37EA2" w:rsidP="00874D4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470"/>
                              </w:tabs>
                              <w:jc w:val="both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A37EA2">
                              <w:rPr>
                                <w:rFonts w:asciiTheme="minorHAnsi" w:hAnsiTheme="minorHAnsi" w:cs="Arial"/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B3A58D7" wp14:editId="286EE24F">
                                  <wp:extent cx="234824" cy="250166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4044253b1a90c6d25ca34e7_Dessin_BD_Ampoule_Idee_Benoitdesine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833" cy="2533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="00D0290E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Un-e</w:t>
                            </w:r>
                            <w:proofErr w:type="spellEnd"/>
                            <w:r w:rsidR="00D0290E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4D4A" w:rsidRPr="00874D4A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salarié</w:t>
                            </w:r>
                            <w:r w:rsidR="00D0290E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-e</w:t>
                            </w:r>
                            <w:proofErr w:type="spellEnd"/>
                            <w:r w:rsidR="00874D4A" w:rsidRPr="00874D4A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ne devra pas effectuer, dans une année civile, plus de 8 semaines ou </w:t>
                            </w:r>
                            <w:r w:rsidR="00874D4A" w:rsidRPr="00D0290E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</w:rPr>
                              <w:t>56 nuits ouvrant</w:t>
                            </w:r>
                            <w:r w:rsidR="00874D4A" w:rsidRPr="00874D4A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="00874D4A" w:rsidRPr="00874D4A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droit</w:t>
                            </w:r>
                            <w:proofErr w:type="gramEnd"/>
                            <w:r w:rsidR="00874D4A" w:rsidRPr="00874D4A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au régime des équivalences. </w:t>
                            </w:r>
                            <w:proofErr w:type="spellStart"/>
                            <w:r w:rsidR="00874D4A" w:rsidRPr="00874D4A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Un-e</w:t>
                            </w:r>
                            <w:proofErr w:type="spellEnd"/>
                            <w:r w:rsidR="00874D4A" w:rsidRPr="00874D4A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4D4A" w:rsidRPr="00874D4A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salarié-e</w:t>
                            </w:r>
                            <w:proofErr w:type="spellEnd"/>
                            <w:r w:rsidR="00874D4A" w:rsidRPr="00874D4A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ne pourra par ailleurs pas réaliser plus de </w:t>
                            </w:r>
                            <w:r w:rsidR="00874D4A" w:rsidRPr="00D0290E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</w:rPr>
                              <w:t>3 semaines cumulées</w:t>
                            </w:r>
                            <w:r w:rsidR="00D0290E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</w:rPr>
                              <w:t xml:space="preserve"> (21 jours)</w:t>
                            </w:r>
                            <w:r w:rsidR="00874D4A" w:rsidRPr="00874D4A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sous ce régime d’équivalences. Au-delà, une demande de dérogation argumentée devra être sollicitée par le responsable auprès du Pôle Ressources Humaines. De plus, après une période de 3 semaines ou 21 nuits sous le régime des équivalences, le salarié devra bénéficier d’au moins une semaine continue non travaillée (récupérations ou congés). </w:t>
                            </w:r>
                          </w:p>
                          <w:p w:rsidR="00A37EA2" w:rsidRPr="00A37EA2" w:rsidRDefault="00A37EA2" w:rsidP="00A37EA2">
                            <w:pPr>
                              <w:spacing w:before="120"/>
                              <w:jc w:val="both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A37EA2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>Chaque équivalence nuit doit faire l’o</w:t>
                            </w:r>
                            <w:r w:rsidR="00540227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bjet d’une demande préalable </w:t>
                            </w:r>
                            <w:r w:rsidRPr="00A37EA2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validée par le RLE/N+1 </w:t>
                            </w:r>
                            <w:r w:rsidR="00540227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>puis</w:t>
                            </w:r>
                            <w:r w:rsidRPr="00A37EA2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transmis</w:t>
                            </w:r>
                            <w:r w:rsidR="00540227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>e</w:t>
                            </w:r>
                            <w:r w:rsidRPr="00A37EA2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au Pole RH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887D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.65pt;margin-top:11.3pt;width:469.35pt;height:28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">
                <v:textbox>
                  <w:txbxContent>
                    <w:p w:rsidR="007A244F" w:rsidRPr="00874D4A" w:rsidRDefault="00874D4A" w:rsidP="007A244F">
                      <w:pPr>
                        <w:jc w:val="center"/>
                        <w:rPr>
                          <w:rFonts w:asciiTheme="minorHAnsi" w:hAnsiTheme="minorHAnsi"/>
                          <w:b/>
                          <w:strike/>
                          <w:sz w:val="22"/>
                          <w:szCs w:val="22"/>
                        </w:rPr>
                      </w:pPr>
                      <w:r w:rsidRPr="00874D4A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Le régime des équivalences</w:t>
                      </w:r>
                    </w:p>
                    <w:p w:rsidR="00A37EA2" w:rsidRPr="00A37EA2" w:rsidRDefault="007A244F" w:rsidP="00A37EA2">
                      <w:pPr>
                        <w:jc w:val="both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874D4A">
                        <w:rPr>
                          <w:rFonts w:asciiTheme="minorHAnsi" w:hAnsiTheme="minorHAnsi"/>
                          <w:b/>
                          <w:sz w:val="18"/>
                          <w:szCs w:val="18"/>
                          <w:u w:val="single"/>
                        </w:rPr>
                        <w:t>Contexte d’utilisation du régime des équivalences</w:t>
                      </w:r>
                      <w:r w:rsidRPr="00874D4A">
                        <w:rPr>
                          <w:rFonts w:asciiTheme="minorHAnsi" w:hAnsiTheme="minorHAnsi"/>
                          <w:sz w:val="18"/>
                          <w:szCs w:val="18"/>
                        </w:rPr>
                        <w:t> </w:t>
                      </w:r>
                      <w:r w:rsidRPr="00874D4A">
                        <w:rPr>
                          <w:rFonts w:asciiTheme="minorHAnsi" w:hAnsiTheme="minorHAnsi"/>
                          <w:b/>
                          <w:sz w:val="18"/>
                          <w:szCs w:val="18"/>
                        </w:rPr>
                        <w:t>:</w:t>
                      </w:r>
                      <w:r w:rsidRPr="00874D4A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r w:rsidR="00A37EA2" w:rsidRPr="00A37EA2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L’article 5.6 de la convention Collective Nationale de l’Animation met en place un régime d’équivalence pour les personnels amenés à travailler </w:t>
                      </w:r>
                      <w:r w:rsidR="00A37EA2" w:rsidRPr="00A37EA2">
                        <w:rPr>
                          <w:rFonts w:asciiTheme="minorHAnsi" w:hAnsiTheme="minorHAnsi"/>
                          <w:b/>
                          <w:sz w:val="18"/>
                          <w:szCs w:val="18"/>
                        </w:rPr>
                        <w:t xml:space="preserve">dans le cadre d’accompagnement de groupes avec nuitée, </w:t>
                      </w:r>
                      <w:r w:rsidR="00A37EA2" w:rsidRPr="00A37EA2">
                        <w:rPr>
                          <w:rFonts w:asciiTheme="minorHAnsi" w:hAnsiTheme="minorHAnsi"/>
                          <w:sz w:val="18"/>
                          <w:szCs w:val="18"/>
                        </w:rPr>
                        <w:t>comprenant des périodes de travail et d’inactivité ne permettant pas un décompte précis des heures réellement travaillées.</w:t>
                      </w:r>
                    </w:p>
                    <w:p w:rsidR="007A244F" w:rsidRPr="00874D4A" w:rsidRDefault="007A244F" w:rsidP="00A37EA2">
                      <w:pPr>
                        <w:jc w:val="both"/>
                        <w:rPr>
                          <w:rFonts w:asciiTheme="minorHAnsi" w:hAnsiTheme="minorHAnsi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874D4A">
                        <w:rPr>
                          <w:rFonts w:asciiTheme="minorHAnsi" w:hAnsiTheme="minorHAnsi"/>
                          <w:b/>
                          <w:sz w:val="18"/>
                          <w:szCs w:val="18"/>
                          <w:u w:val="single"/>
                        </w:rPr>
                        <w:t>Rappel sur les règles conventionnelles de l’équivalence jour :</w:t>
                      </w:r>
                    </w:p>
                    <w:p w:rsidR="007A244F" w:rsidRPr="00874D4A" w:rsidRDefault="007A244F" w:rsidP="007A244F">
                      <w:pPr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Theme="minorHAnsi" w:hAnsiTheme="minorHAnsi"/>
                          <w:spacing w:val="-6"/>
                          <w:sz w:val="18"/>
                          <w:szCs w:val="18"/>
                        </w:rPr>
                      </w:pPr>
                      <w:r w:rsidRPr="00874D4A">
                        <w:rPr>
                          <w:rFonts w:asciiTheme="minorHAnsi" w:hAnsiTheme="minorHAnsi"/>
                          <w:spacing w:val="-6"/>
                          <w:sz w:val="18"/>
                          <w:szCs w:val="18"/>
                        </w:rPr>
                        <w:t>Equivalence jour : 13 heures de présence = rémunération sur la base de 7 heures effectives</w:t>
                      </w:r>
                    </w:p>
                    <w:p w:rsidR="007A244F" w:rsidRPr="00874D4A" w:rsidRDefault="007A244F" w:rsidP="007A244F">
                      <w:pPr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Theme="minorHAnsi" w:hAnsiTheme="minorHAnsi"/>
                          <w:spacing w:val="-6"/>
                          <w:sz w:val="18"/>
                          <w:szCs w:val="18"/>
                        </w:rPr>
                      </w:pPr>
                      <w:r w:rsidRPr="00874D4A">
                        <w:rPr>
                          <w:rFonts w:asciiTheme="minorHAnsi" w:hAnsiTheme="minorHAnsi"/>
                          <w:spacing w:val="-6"/>
                          <w:sz w:val="18"/>
                          <w:szCs w:val="18"/>
                        </w:rPr>
                        <w:t>Au-delà de 5 équivalences jour par semaine civile (soit 65 heures), toutes les heures effectuées au-delà sont considérée comme des heures supplémentaires.</w:t>
                      </w:r>
                    </w:p>
                    <w:p w:rsidR="007A244F" w:rsidRPr="00874D4A" w:rsidRDefault="00A37EA2" w:rsidP="007A244F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tabs>
                          <w:tab w:val="num" w:pos="720"/>
                        </w:tabs>
                        <w:jc w:val="both"/>
                        <w:rPr>
                          <w:rFonts w:asciiTheme="minorHAnsi" w:hAnsiTheme="minorHAnsi"/>
                          <w:spacing w:val="-6"/>
                          <w:sz w:val="18"/>
                          <w:szCs w:val="18"/>
                        </w:rPr>
                      </w:pPr>
                      <w:r w:rsidRPr="00A37EA2">
                        <w:rPr>
                          <w:rFonts w:asciiTheme="minorHAnsi" w:hAnsiTheme="minorHAnsi" w:cs="Arial"/>
                          <w:b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7806B807" wp14:editId="34CEDC81">
                            <wp:extent cx="234824" cy="250166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4044253b1a90c6d25ca34e7_Dessin_BD_Ampoule_Idee_Benoitdesine.pn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833" cy="2533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A244F" w:rsidRPr="00874D4A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 xml:space="preserve"> La durée hebdomadaire du travail effectif doit en principe permettre d’assurer à chaque salarié deux jours de repos consécutif. Une dérogation est possible mais en tout état de cause, le salarié doit bénéficier d’</w:t>
                      </w:r>
                      <w:r w:rsidR="007A244F" w:rsidRPr="00874D4A"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</w:rPr>
                        <w:t>au</w:t>
                      </w:r>
                      <w:r w:rsidR="007A244F" w:rsidRPr="00874D4A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 xml:space="preserve"> </w:t>
                      </w:r>
                      <w:r w:rsidR="007A244F" w:rsidRPr="00874D4A"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</w:rPr>
                        <w:t xml:space="preserve">moins 1 jour de repos hebdomadaire </w:t>
                      </w:r>
                      <w:r w:rsidR="007A244F" w:rsidRPr="00874D4A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par semaine civile (du lundi au dimanche).</w:t>
                      </w:r>
                    </w:p>
                    <w:p w:rsidR="007A244F" w:rsidRDefault="007A244F" w:rsidP="007A244F">
                      <w:pPr>
                        <w:spacing w:before="120"/>
                        <w:jc w:val="both"/>
                        <w:rPr>
                          <w:rFonts w:asciiTheme="minorHAnsi" w:hAnsiTheme="minorHAnsi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874D4A">
                        <w:rPr>
                          <w:rFonts w:asciiTheme="minorHAnsi" w:hAnsiTheme="minorHAnsi"/>
                          <w:b/>
                          <w:sz w:val="18"/>
                          <w:szCs w:val="18"/>
                          <w:u w:val="single"/>
                        </w:rPr>
                        <w:t xml:space="preserve">Dispositions EEDF pour les équivalences nuit issues de la NAO de 2012 : </w:t>
                      </w:r>
                    </w:p>
                    <w:p w:rsidR="00874D4A" w:rsidRPr="00874D4A" w:rsidRDefault="00874D4A" w:rsidP="00874D4A">
                      <w:pPr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Theme="minorHAnsi" w:hAnsiTheme="minorHAnsi"/>
                          <w:spacing w:val="-6"/>
                          <w:sz w:val="18"/>
                          <w:szCs w:val="18"/>
                        </w:rPr>
                      </w:pPr>
                      <w:r w:rsidRPr="00874D4A">
                        <w:rPr>
                          <w:rFonts w:asciiTheme="minorHAnsi" w:hAnsiTheme="minorHAnsi"/>
                          <w:spacing w:val="-6"/>
                          <w:sz w:val="18"/>
                          <w:szCs w:val="18"/>
                        </w:rPr>
                        <w:t>Equivalence nuit : 11 heures de présence = rémunération sur la base de 3h30 heures effectives</w:t>
                      </w:r>
                    </w:p>
                    <w:p w:rsidR="00874D4A" w:rsidRDefault="00A37EA2" w:rsidP="00874D4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tabs>
                          <w:tab w:val="left" w:pos="1470"/>
                        </w:tabs>
                        <w:jc w:val="both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A37EA2">
                        <w:rPr>
                          <w:rFonts w:asciiTheme="minorHAnsi" w:hAnsiTheme="minorHAnsi" w:cs="Arial"/>
                          <w:b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1B3A58D7" wp14:editId="286EE24F">
                            <wp:extent cx="234824" cy="250166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4044253b1a90c6d25ca34e7_Dessin_BD_Ampoule_Idee_Benoitdesine.pn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833" cy="2533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="00D0290E">
                        <w:rPr>
                          <w:rFonts w:asciiTheme="minorHAnsi" w:hAnsiTheme="minorHAnsi"/>
                          <w:sz w:val="18"/>
                          <w:szCs w:val="18"/>
                        </w:rPr>
                        <w:t>Un-e</w:t>
                      </w:r>
                      <w:proofErr w:type="spellEnd"/>
                      <w:r w:rsidR="00D0290E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4D4A" w:rsidRPr="00874D4A">
                        <w:rPr>
                          <w:rFonts w:asciiTheme="minorHAnsi" w:hAnsiTheme="minorHAnsi"/>
                          <w:sz w:val="18"/>
                          <w:szCs w:val="18"/>
                        </w:rPr>
                        <w:t>salarié</w:t>
                      </w:r>
                      <w:r w:rsidR="00D0290E">
                        <w:rPr>
                          <w:rFonts w:asciiTheme="minorHAnsi" w:hAnsiTheme="minorHAnsi"/>
                          <w:sz w:val="18"/>
                          <w:szCs w:val="18"/>
                        </w:rPr>
                        <w:t>-e</w:t>
                      </w:r>
                      <w:proofErr w:type="spellEnd"/>
                      <w:r w:rsidR="00874D4A" w:rsidRPr="00874D4A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ne devra pas effectuer, dans une année civile, plus de 8 semaines ou </w:t>
                      </w:r>
                      <w:r w:rsidR="00874D4A" w:rsidRPr="00D0290E">
                        <w:rPr>
                          <w:rFonts w:asciiTheme="minorHAnsi" w:hAnsiTheme="minorHAnsi"/>
                          <w:b/>
                          <w:sz w:val="18"/>
                          <w:szCs w:val="18"/>
                        </w:rPr>
                        <w:t>56 nuits ouvrant</w:t>
                      </w:r>
                      <w:r w:rsidR="00874D4A" w:rsidRPr="00874D4A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="00874D4A" w:rsidRPr="00874D4A">
                        <w:rPr>
                          <w:rFonts w:asciiTheme="minorHAnsi" w:hAnsiTheme="minorHAnsi"/>
                          <w:sz w:val="18"/>
                          <w:szCs w:val="18"/>
                        </w:rPr>
                        <w:t>droit</w:t>
                      </w:r>
                      <w:proofErr w:type="gramEnd"/>
                      <w:r w:rsidR="00874D4A" w:rsidRPr="00874D4A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au régime des équivalences. </w:t>
                      </w:r>
                      <w:proofErr w:type="spellStart"/>
                      <w:r w:rsidR="00874D4A" w:rsidRPr="00874D4A">
                        <w:rPr>
                          <w:rFonts w:asciiTheme="minorHAnsi" w:hAnsiTheme="minorHAnsi"/>
                          <w:sz w:val="18"/>
                          <w:szCs w:val="18"/>
                        </w:rPr>
                        <w:t>Un-e</w:t>
                      </w:r>
                      <w:proofErr w:type="spellEnd"/>
                      <w:r w:rsidR="00874D4A" w:rsidRPr="00874D4A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4D4A" w:rsidRPr="00874D4A">
                        <w:rPr>
                          <w:rFonts w:asciiTheme="minorHAnsi" w:hAnsiTheme="minorHAnsi"/>
                          <w:sz w:val="18"/>
                          <w:szCs w:val="18"/>
                        </w:rPr>
                        <w:t>salarié-e</w:t>
                      </w:r>
                      <w:proofErr w:type="spellEnd"/>
                      <w:r w:rsidR="00874D4A" w:rsidRPr="00874D4A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ne pourra par ailleurs pas réaliser plus de </w:t>
                      </w:r>
                      <w:r w:rsidR="00874D4A" w:rsidRPr="00D0290E">
                        <w:rPr>
                          <w:rFonts w:asciiTheme="minorHAnsi" w:hAnsiTheme="minorHAnsi"/>
                          <w:b/>
                          <w:sz w:val="18"/>
                          <w:szCs w:val="18"/>
                        </w:rPr>
                        <w:t>3 semaines cumulées</w:t>
                      </w:r>
                      <w:r w:rsidR="00D0290E">
                        <w:rPr>
                          <w:rFonts w:asciiTheme="minorHAnsi" w:hAnsiTheme="minorHAnsi"/>
                          <w:b/>
                          <w:sz w:val="18"/>
                          <w:szCs w:val="18"/>
                        </w:rPr>
                        <w:t xml:space="preserve"> (21 jours)</w:t>
                      </w:r>
                      <w:r w:rsidR="00874D4A" w:rsidRPr="00874D4A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sous ce régime d’équivalences. Au-delà, une demande de dérogation argumentée devra être sollicitée par le responsable auprès du Pôle Ressources Humaines. De plus, après une période de 3 semaines ou 21 nuits sous le régime des équivalences, le salarié devra bénéficier d’au moins une semaine continue non travaillée (récupérations ou congés). </w:t>
                      </w:r>
                    </w:p>
                    <w:p w:rsidR="00A37EA2" w:rsidRPr="00A37EA2" w:rsidRDefault="00A37EA2" w:rsidP="00A37EA2">
                      <w:pPr>
                        <w:spacing w:before="120"/>
                        <w:jc w:val="both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A37EA2">
                        <w:rPr>
                          <w:rFonts w:asciiTheme="minorHAnsi" w:hAnsiTheme="minorHAnsi"/>
                          <w:b/>
                          <w:sz w:val="18"/>
                          <w:szCs w:val="18"/>
                          <w:u w:val="single"/>
                        </w:rPr>
                        <w:t>Chaque équivalence nuit doit faire l’o</w:t>
                      </w:r>
                      <w:r w:rsidR="00540227">
                        <w:rPr>
                          <w:rFonts w:asciiTheme="minorHAnsi" w:hAnsiTheme="minorHAnsi"/>
                          <w:b/>
                          <w:sz w:val="18"/>
                          <w:szCs w:val="18"/>
                          <w:u w:val="single"/>
                        </w:rPr>
                        <w:t xml:space="preserve">bjet d’une demande préalable </w:t>
                      </w:r>
                      <w:r w:rsidRPr="00A37EA2">
                        <w:rPr>
                          <w:rFonts w:asciiTheme="minorHAnsi" w:hAnsiTheme="minorHAnsi"/>
                          <w:b/>
                          <w:sz w:val="18"/>
                          <w:szCs w:val="18"/>
                          <w:u w:val="single"/>
                        </w:rPr>
                        <w:t xml:space="preserve">validée par le RLE/N+1 </w:t>
                      </w:r>
                      <w:r w:rsidR="00540227">
                        <w:rPr>
                          <w:rFonts w:asciiTheme="minorHAnsi" w:hAnsiTheme="minorHAnsi"/>
                          <w:b/>
                          <w:sz w:val="18"/>
                          <w:szCs w:val="18"/>
                          <w:u w:val="single"/>
                        </w:rPr>
                        <w:t>puis</w:t>
                      </w:r>
                      <w:r w:rsidRPr="00A37EA2">
                        <w:rPr>
                          <w:rFonts w:asciiTheme="minorHAnsi" w:hAnsiTheme="minorHAnsi"/>
                          <w:b/>
                          <w:sz w:val="18"/>
                          <w:szCs w:val="18"/>
                          <w:u w:val="single"/>
                        </w:rPr>
                        <w:t xml:space="preserve"> transmis</w:t>
                      </w:r>
                      <w:r w:rsidR="00540227">
                        <w:rPr>
                          <w:rFonts w:asciiTheme="minorHAnsi" w:hAnsiTheme="minorHAnsi"/>
                          <w:b/>
                          <w:sz w:val="18"/>
                          <w:szCs w:val="18"/>
                          <w:u w:val="single"/>
                        </w:rPr>
                        <w:t>e</w:t>
                      </w:r>
                      <w:r w:rsidRPr="00A37EA2">
                        <w:rPr>
                          <w:rFonts w:asciiTheme="minorHAnsi" w:hAnsiTheme="minorHAnsi"/>
                          <w:b/>
                          <w:sz w:val="18"/>
                          <w:szCs w:val="18"/>
                          <w:u w:val="single"/>
                        </w:rPr>
                        <w:t xml:space="preserve"> au Pole RH</w:t>
                      </w:r>
                    </w:p>
                  </w:txbxContent>
                </v:textbox>
              </v:shape>
            </w:pict>
          </mc:Fallback>
        </mc:AlternateContent>
      </w:r>
    </w:p>
    <w:p w:rsidR="007A244F" w:rsidRDefault="007A244F" w:rsidP="00C81571">
      <w:pPr>
        <w:jc w:val="center"/>
        <w:rPr>
          <w:rFonts w:ascii="Calibri" w:hAnsi="Calibri"/>
          <w:sz w:val="28"/>
          <w:szCs w:val="28"/>
        </w:rPr>
      </w:pPr>
    </w:p>
    <w:p w:rsidR="007A244F" w:rsidRDefault="007A244F" w:rsidP="00C81571">
      <w:pPr>
        <w:jc w:val="center"/>
        <w:rPr>
          <w:rFonts w:ascii="Calibri" w:hAnsi="Calibri"/>
          <w:sz w:val="28"/>
          <w:szCs w:val="28"/>
        </w:rPr>
      </w:pPr>
    </w:p>
    <w:p w:rsidR="007A244F" w:rsidRDefault="007A244F" w:rsidP="00C81571">
      <w:pPr>
        <w:jc w:val="center"/>
        <w:rPr>
          <w:rFonts w:ascii="Calibri" w:hAnsi="Calibri"/>
          <w:sz w:val="28"/>
          <w:szCs w:val="28"/>
        </w:rPr>
      </w:pPr>
    </w:p>
    <w:p w:rsidR="007A244F" w:rsidRDefault="007A244F" w:rsidP="00C81571">
      <w:pPr>
        <w:jc w:val="center"/>
        <w:rPr>
          <w:rFonts w:ascii="Calibri" w:hAnsi="Calibri"/>
          <w:sz w:val="28"/>
          <w:szCs w:val="28"/>
        </w:rPr>
      </w:pPr>
    </w:p>
    <w:p w:rsidR="007A244F" w:rsidRDefault="007A244F" w:rsidP="00C81571">
      <w:pPr>
        <w:jc w:val="center"/>
        <w:rPr>
          <w:rFonts w:ascii="Calibri" w:hAnsi="Calibri"/>
          <w:sz w:val="28"/>
          <w:szCs w:val="28"/>
        </w:rPr>
      </w:pPr>
    </w:p>
    <w:p w:rsidR="007A244F" w:rsidRDefault="007A244F" w:rsidP="00C81571">
      <w:pPr>
        <w:jc w:val="center"/>
        <w:rPr>
          <w:rFonts w:ascii="Calibri" w:hAnsi="Calibri"/>
          <w:sz w:val="28"/>
          <w:szCs w:val="28"/>
        </w:rPr>
      </w:pPr>
    </w:p>
    <w:p w:rsidR="007A244F" w:rsidRDefault="007A244F" w:rsidP="00C81571">
      <w:pPr>
        <w:jc w:val="center"/>
        <w:rPr>
          <w:rFonts w:ascii="Calibri" w:hAnsi="Calibri"/>
          <w:sz w:val="28"/>
          <w:szCs w:val="28"/>
        </w:rPr>
      </w:pPr>
    </w:p>
    <w:p w:rsidR="007A244F" w:rsidRDefault="007A244F" w:rsidP="00C81571">
      <w:pPr>
        <w:jc w:val="center"/>
        <w:rPr>
          <w:rFonts w:ascii="Calibri" w:hAnsi="Calibri"/>
          <w:sz w:val="28"/>
          <w:szCs w:val="28"/>
        </w:rPr>
      </w:pPr>
    </w:p>
    <w:p w:rsidR="007A244F" w:rsidRDefault="007A244F" w:rsidP="00C81571">
      <w:pPr>
        <w:jc w:val="center"/>
        <w:rPr>
          <w:rFonts w:ascii="Calibri" w:hAnsi="Calibri"/>
          <w:sz w:val="28"/>
          <w:szCs w:val="28"/>
        </w:rPr>
      </w:pPr>
    </w:p>
    <w:p w:rsidR="007A244F" w:rsidRDefault="007A244F" w:rsidP="00C81571">
      <w:pPr>
        <w:jc w:val="center"/>
        <w:rPr>
          <w:rFonts w:ascii="Calibri" w:hAnsi="Calibri"/>
          <w:sz w:val="28"/>
          <w:szCs w:val="28"/>
        </w:rPr>
      </w:pPr>
    </w:p>
    <w:p w:rsidR="007A244F" w:rsidRDefault="007A244F" w:rsidP="00C81571">
      <w:pPr>
        <w:jc w:val="center"/>
        <w:rPr>
          <w:rFonts w:ascii="Calibri" w:hAnsi="Calibri"/>
          <w:sz w:val="28"/>
          <w:szCs w:val="28"/>
        </w:rPr>
      </w:pPr>
    </w:p>
    <w:p w:rsidR="007A244F" w:rsidRDefault="007A244F" w:rsidP="00C81571">
      <w:pPr>
        <w:jc w:val="center"/>
        <w:rPr>
          <w:rFonts w:ascii="Calibri" w:hAnsi="Calibri"/>
          <w:sz w:val="28"/>
          <w:szCs w:val="28"/>
        </w:rPr>
      </w:pPr>
    </w:p>
    <w:p w:rsidR="00874D4A" w:rsidRDefault="00874D4A" w:rsidP="00C81571">
      <w:pPr>
        <w:tabs>
          <w:tab w:val="left" w:pos="9072"/>
        </w:tabs>
        <w:spacing w:after="20"/>
        <w:rPr>
          <w:rFonts w:ascii="Calibri" w:hAnsi="Calibri" w:cs="Arial"/>
          <w:b/>
          <w:sz w:val="22"/>
          <w:szCs w:val="22"/>
        </w:rPr>
      </w:pPr>
    </w:p>
    <w:p w:rsidR="00874D4A" w:rsidRDefault="00874D4A" w:rsidP="00C81571">
      <w:pPr>
        <w:tabs>
          <w:tab w:val="left" w:pos="9072"/>
        </w:tabs>
        <w:spacing w:after="20"/>
        <w:rPr>
          <w:rFonts w:ascii="Calibri" w:hAnsi="Calibri" w:cs="Arial"/>
          <w:b/>
          <w:sz w:val="22"/>
          <w:szCs w:val="22"/>
        </w:rPr>
      </w:pPr>
    </w:p>
    <w:p w:rsidR="00D0290E" w:rsidRDefault="00D0290E" w:rsidP="00C81571">
      <w:pPr>
        <w:tabs>
          <w:tab w:val="left" w:pos="9072"/>
        </w:tabs>
        <w:spacing w:after="20"/>
        <w:rPr>
          <w:rFonts w:ascii="Calibri" w:hAnsi="Calibri" w:cs="Arial"/>
          <w:b/>
          <w:sz w:val="22"/>
          <w:szCs w:val="22"/>
        </w:rPr>
      </w:pPr>
    </w:p>
    <w:p w:rsidR="00A37EA2" w:rsidRDefault="00A37EA2" w:rsidP="00C81571">
      <w:pPr>
        <w:tabs>
          <w:tab w:val="left" w:pos="9072"/>
        </w:tabs>
        <w:spacing w:after="20"/>
        <w:rPr>
          <w:rFonts w:ascii="Calibri" w:hAnsi="Calibri" w:cs="Arial"/>
          <w:b/>
          <w:sz w:val="22"/>
          <w:szCs w:val="22"/>
        </w:rPr>
      </w:pPr>
    </w:p>
    <w:p w:rsidR="00A37EA2" w:rsidRDefault="00A37EA2" w:rsidP="00C81571">
      <w:pPr>
        <w:tabs>
          <w:tab w:val="left" w:pos="9072"/>
        </w:tabs>
        <w:spacing w:after="20"/>
        <w:rPr>
          <w:rFonts w:ascii="Calibri" w:hAnsi="Calibri" w:cs="Arial"/>
          <w:b/>
          <w:sz w:val="22"/>
          <w:szCs w:val="22"/>
        </w:rPr>
      </w:pPr>
    </w:p>
    <w:p w:rsidR="00A37EA2" w:rsidRDefault="00A37EA2" w:rsidP="00C81571">
      <w:pPr>
        <w:tabs>
          <w:tab w:val="left" w:pos="9072"/>
        </w:tabs>
        <w:spacing w:after="20"/>
        <w:rPr>
          <w:rFonts w:ascii="Calibri" w:hAnsi="Calibri" w:cs="Arial"/>
          <w:b/>
          <w:sz w:val="22"/>
          <w:szCs w:val="22"/>
        </w:rPr>
      </w:pPr>
    </w:p>
    <w:p w:rsidR="00C81571" w:rsidRPr="00235866" w:rsidRDefault="00C81571" w:rsidP="00C81571">
      <w:pPr>
        <w:tabs>
          <w:tab w:val="left" w:pos="9072"/>
        </w:tabs>
        <w:spacing w:after="2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Période</w:t>
      </w:r>
      <w:r w:rsidRPr="00235866">
        <w:rPr>
          <w:rFonts w:ascii="Calibri" w:hAnsi="Calibri" w:cs="Arial"/>
          <w:sz w:val="22"/>
          <w:szCs w:val="22"/>
        </w:rPr>
        <w:t xml:space="preserve"> : </w:t>
      </w:r>
      <w:r w:rsidRPr="00DA2E14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Pr="00DA2E14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Pr="00DA2E14">
        <w:rPr>
          <w:rFonts w:ascii="Calibri" w:hAnsi="Calibri" w:cs="Arial"/>
          <w:sz w:val="22"/>
          <w:szCs w:val="22"/>
          <w:u w:val="dotted"/>
        </w:rPr>
      </w:r>
      <w:r w:rsidRPr="00DA2E14">
        <w:rPr>
          <w:rFonts w:ascii="Calibri" w:hAnsi="Calibri" w:cs="Arial"/>
          <w:sz w:val="22"/>
          <w:szCs w:val="22"/>
          <w:u w:val="dotted"/>
        </w:rPr>
        <w:fldChar w:fldCharType="separate"/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sz w:val="22"/>
          <w:szCs w:val="22"/>
          <w:u w:val="dotted"/>
        </w:rPr>
        <w:fldChar w:fldCharType="end"/>
      </w:r>
      <w:bookmarkEnd w:id="0"/>
      <w:r w:rsidRPr="00DA2E14">
        <w:rPr>
          <w:rFonts w:ascii="Calibri" w:hAnsi="Calibri" w:cs="Arial"/>
          <w:sz w:val="22"/>
          <w:szCs w:val="22"/>
          <w:u w:val="dotted"/>
        </w:rPr>
        <w:tab/>
      </w:r>
    </w:p>
    <w:p w:rsidR="00C81571" w:rsidRPr="00235866" w:rsidRDefault="00C81571" w:rsidP="00C81571">
      <w:pPr>
        <w:spacing w:after="20"/>
        <w:rPr>
          <w:rFonts w:ascii="Calibri" w:hAnsi="Calibri" w:cs="Arial"/>
          <w:sz w:val="22"/>
          <w:szCs w:val="22"/>
        </w:rPr>
      </w:pPr>
    </w:p>
    <w:p w:rsidR="00C81571" w:rsidRPr="00235866" w:rsidRDefault="00C81571" w:rsidP="00C81571">
      <w:pPr>
        <w:tabs>
          <w:tab w:val="left" w:pos="4536"/>
          <w:tab w:val="left" w:pos="4678"/>
          <w:tab w:val="left" w:pos="9072"/>
        </w:tabs>
        <w:spacing w:after="20"/>
        <w:rPr>
          <w:rFonts w:ascii="Calibri" w:hAnsi="Calibri" w:cs="Arial"/>
          <w:sz w:val="22"/>
          <w:szCs w:val="22"/>
        </w:rPr>
      </w:pPr>
      <w:r w:rsidRPr="00235866">
        <w:rPr>
          <w:rFonts w:ascii="Calibri" w:hAnsi="Calibri" w:cs="Arial"/>
          <w:b/>
          <w:sz w:val="22"/>
          <w:szCs w:val="22"/>
        </w:rPr>
        <w:t>Nom</w:t>
      </w:r>
      <w:r w:rsidRPr="00235866">
        <w:rPr>
          <w:rFonts w:ascii="Calibri" w:hAnsi="Calibri" w:cs="Arial"/>
          <w:sz w:val="22"/>
          <w:szCs w:val="22"/>
        </w:rPr>
        <w:t xml:space="preserve"> : </w:t>
      </w:r>
      <w:r w:rsidRPr="00DA2E14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Pr="00DA2E14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Pr="00DA2E14">
        <w:rPr>
          <w:rFonts w:ascii="Calibri" w:hAnsi="Calibri" w:cs="Arial"/>
          <w:sz w:val="22"/>
          <w:szCs w:val="22"/>
          <w:u w:val="dotted"/>
        </w:rPr>
      </w:r>
      <w:r w:rsidRPr="00DA2E14">
        <w:rPr>
          <w:rFonts w:ascii="Calibri" w:hAnsi="Calibri" w:cs="Arial"/>
          <w:sz w:val="22"/>
          <w:szCs w:val="22"/>
          <w:u w:val="dotted"/>
        </w:rPr>
        <w:fldChar w:fldCharType="separate"/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sz w:val="22"/>
          <w:szCs w:val="22"/>
          <w:u w:val="dotted"/>
        </w:rPr>
        <w:fldChar w:fldCharType="end"/>
      </w:r>
      <w:bookmarkEnd w:id="1"/>
      <w:r w:rsidRPr="00DA2E14">
        <w:rPr>
          <w:rFonts w:ascii="Calibri" w:hAnsi="Calibri" w:cs="Arial"/>
          <w:sz w:val="22"/>
          <w:szCs w:val="22"/>
          <w:u w:val="dotted"/>
        </w:rPr>
        <w:tab/>
      </w:r>
      <w:r w:rsidRPr="00DA2E14">
        <w:rPr>
          <w:rFonts w:ascii="Calibri" w:hAnsi="Calibri" w:cs="Arial"/>
          <w:sz w:val="22"/>
          <w:szCs w:val="22"/>
        </w:rPr>
        <w:tab/>
      </w:r>
      <w:r w:rsidRPr="00235866">
        <w:rPr>
          <w:rFonts w:ascii="Calibri" w:hAnsi="Calibri" w:cs="Arial"/>
          <w:b/>
          <w:sz w:val="22"/>
          <w:szCs w:val="22"/>
        </w:rPr>
        <w:t>Prénom</w:t>
      </w:r>
      <w:r w:rsidRPr="00235866">
        <w:rPr>
          <w:rFonts w:ascii="Calibri" w:hAnsi="Calibri" w:cs="Arial"/>
          <w:sz w:val="22"/>
          <w:szCs w:val="22"/>
        </w:rPr>
        <w:t xml:space="preserve"> : </w:t>
      </w:r>
      <w:r w:rsidRPr="00DA2E14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2" w:name="Texte5"/>
      <w:r w:rsidRPr="00DA2E14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Pr="00DA2E14">
        <w:rPr>
          <w:rFonts w:ascii="Calibri" w:hAnsi="Calibri" w:cs="Arial"/>
          <w:sz w:val="22"/>
          <w:szCs w:val="22"/>
          <w:u w:val="dotted"/>
        </w:rPr>
      </w:r>
      <w:r w:rsidRPr="00DA2E14">
        <w:rPr>
          <w:rFonts w:ascii="Calibri" w:hAnsi="Calibri" w:cs="Arial"/>
          <w:sz w:val="22"/>
          <w:szCs w:val="22"/>
          <w:u w:val="dotted"/>
        </w:rPr>
        <w:fldChar w:fldCharType="separate"/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sz w:val="22"/>
          <w:szCs w:val="22"/>
          <w:u w:val="dotted"/>
        </w:rPr>
        <w:fldChar w:fldCharType="end"/>
      </w:r>
      <w:bookmarkEnd w:id="2"/>
      <w:r w:rsidRPr="00DA2E14">
        <w:rPr>
          <w:rFonts w:ascii="Calibri" w:hAnsi="Calibri" w:cs="Arial"/>
          <w:sz w:val="22"/>
          <w:szCs w:val="22"/>
          <w:u w:val="dotted"/>
        </w:rPr>
        <w:tab/>
      </w:r>
    </w:p>
    <w:p w:rsidR="00C81571" w:rsidRPr="00235866" w:rsidRDefault="00C81571" w:rsidP="00C81571">
      <w:pPr>
        <w:spacing w:after="20"/>
        <w:rPr>
          <w:rFonts w:ascii="Calibri" w:hAnsi="Calibri" w:cs="Arial"/>
          <w:sz w:val="22"/>
          <w:szCs w:val="22"/>
        </w:rPr>
      </w:pPr>
    </w:p>
    <w:p w:rsidR="00C81571" w:rsidRDefault="00874D4A" w:rsidP="00C81571">
      <w:pPr>
        <w:tabs>
          <w:tab w:val="left" w:pos="9072"/>
        </w:tabs>
        <w:spacing w:after="20"/>
        <w:rPr>
          <w:rFonts w:ascii="Calibri" w:hAnsi="Calibri" w:cs="Arial"/>
          <w:sz w:val="22"/>
          <w:szCs w:val="22"/>
          <w:u w:val="dotted"/>
        </w:rPr>
      </w:pPr>
      <w:r>
        <w:rPr>
          <w:rFonts w:ascii="Calibri" w:hAnsi="Calibri" w:cs="Arial"/>
          <w:b/>
          <w:sz w:val="22"/>
          <w:szCs w:val="22"/>
        </w:rPr>
        <w:t>Structure</w:t>
      </w:r>
      <w:r w:rsidR="00C81571" w:rsidRPr="00235866">
        <w:rPr>
          <w:rFonts w:ascii="Calibri" w:hAnsi="Calibri" w:cs="Arial"/>
          <w:sz w:val="22"/>
          <w:szCs w:val="22"/>
        </w:rPr>
        <w:t xml:space="preserve"> : </w:t>
      </w:r>
      <w:r w:rsidR="00C81571" w:rsidRPr="00DA2E14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 w:rsidR="00C81571" w:rsidRPr="00DA2E14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="00C81571" w:rsidRPr="00DA2E14">
        <w:rPr>
          <w:rFonts w:ascii="Calibri" w:hAnsi="Calibri" w:cs="Arial"/>
          <w:sz w:val="22"/>
          <w:szCs w:val="22"/>
          <w:u w:val="dotted"/>
        </w:rPr>
      </w:r>
      <w:r w:rsidR="00C81571" w:rsidRPr="00DA2E14">
        <w:rPr>
          <w:rFonts w:ascii="Calibri" w:hAnsi="Calibri" w:cs="Arial"/>
          <w:sz w:val="22"/>
          <w:szCs w:val="22"/>
          <w:u w:val="dotted"/>
        </w:rPr>
        <w:fldChar w:fldCharType="separate"/>
      </w:r>
      <w:r w:rsidR="00C81571"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C81571"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C81571"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C81571"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C81571"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C81571" w:rsidRPr="00DA2E14">
        <w:rPr>
          <w:rFonts w:ascii="Calibri" w:hAnsi="Calibri" w:cs="Arial"/>
          <w:sz w:val="22"/>
          <w:szCs w:val="22"/>
          <w:u w:val="dotted"/>
        </w:rPr>
        <w:fldChar w:fldCharType="end"/>
      </w:r>
      <w:bookmarkEnd w:id="3"/>
      <w:r w:rsidR="00C81571" w:rsidRPr="00DA2E14">
        <w:rPr>
          <w:rFonts w:ascii="Calibri" w:hAnsi="Calibri" w:cs="Arial"/>
          <w:sz w:val="22"/>
          <w:szCs w:val="22"/>
          <w:u w:val="dotted"/>
        </w:rPr>
        <w:tab/>
      </w:r>
    </w:p>
    <w:p w:rsidR="007A244F" w:rsidRDefault="007A244F" w:rsidP="00C81571">
      <w:pPr>
        <w:tabs>
          <w:tab w:val="left" w:pos="9072"/>
        </w:tabs>
        <w:spacing w:after="20"/>
        <w:rPr>
          <w:rFonts w:ascii="Calibri" w:hAnsi="Calibri" w:cs="Arial"/>
          <w:sz w:val="22"/>
          <w:szCs w:val="22"/>
          <w:u w:val="dotted"/>
        </w:rPr>
      </w:pPr>
    </w:p>
    <w:p w:rsidR="00C81571" w:rsidRDefault="00C81571" w:rsidP="00C81571">
      <w:pPr>
        <w:jc w:val="both"/>
        <w:rPr>
          <w:rFonts w:ascii="Calibri" w:hAnsi="Calibri"/>
          <w:spacing w:val="-6"/>
          <w:sz w:val="20"/>
          <w:szCs w:val="20"/>
        </w:rPr>
      </w:pPr>
    </w:p>
    <w:bookmarkStart w:id="4" w:name="_MON_1499007829"/>
    <w:bookmarkEnd w:id="4"/>
    <w:p w:rsidR="00D2563B" w:rsidRDefault="00F47849" w:rsidP="007A244F">
      <w:pPr>
        <w:tabs>
          <w:tab w:val="left" w:pos="2552"/>
          <w:tab w:val="left" w:pos="2694"/>
          <w:tab w:val="left" w:pos="4536"/>
        </w:tabs>
        <w:spacing w:after="60"/>
        <w:rPr>
          <w:rFonts w:ascii="Calibri" w:hAnsi="Calibri" w:cs="Arial"/>
          <w:sz w:val="22"/>
          <w:szCs w:val="22"/>
        </w:rPr>
      </w:pPr>
      <w:r>
        <w:object w:dxaOrig="10036" w:dyaOrig="2385">
          <v:shape id="_x0000_i1027" type="#_x0000_t75" style="width:471pt;height:119.25pt" o:ole="">
            <v:imagedata r:id="rId8" o:title=""/>
          </v:shape>
          <o:OLEObject Type="Embed" ProgID="Excel.Sheet.12" ShapeID="_x0000_i1027" DrawAspect="Content" ObjectID="_1609232701" r:id="rId9"/>
        </w:object>
      </w:r>
    </w:p>
    <w:p w:rsidR="007A244F" w:rsidRPr="00355E52" w:rsidRDefault="007A244F" w:rsidP="007A244F">
      <w:pPr>
        <w:tabs>
          <w:tab w:val="left" w:pos="2552"/>
          <w:tab w:val="left" w:pos="2694"/>
          <w:tab w:val="left" w:pos="4536"/>
        </w:tabs>
        <w:spacing w:after="60"/>
        <w:rPr>
          <w:rFonts w:ascii="Calibri" w:hAnsi="Calibri" w:cs="Arial"/>
          <w:sz w:val="22"/>
          <w:szCs w:val="22"/>
        </w:rPr>
      </w:pPr>
      <w:r w:rsidRPr="00355E52">
        <w:rPr>
          <w:rFonts w:ascii="Calibri" w:hAnsi="Calibri" w:cs="Arial"/>
          <w:sz w:val="22"/>
          <w:szCs w:val="22"/>
        </w:rPr>
        <w:t xml:space="preserve">Fait à : </w:t>
      </w:r>
      <w:r w:rsidRPr="00355E52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5" w:name="Texte10"/>
      <w:r w:rsidRPr="00355E52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Pr="00355E52">
        <w:rPr>
          <w:rFonts w:ascii="Calibri" w:hAnsi="Calibri" w:cs="Arial"/>
          <w:sz w:val="22"/>
          <w:szCs w:val="22"/>
          <w:u w:val="dotted"/>
        </w:rPr>
      </w:r>
      <w:r w:rsidRPr="00355E52">
        <w:rPr>
          <w:rFonts w:ascii="Calibri" w:hAnsi="Calibri" w:cs="Arial"/>
          <w:sz w:val="22"/>
          <w:szCs w:val="22"/>
          <w:u w:val="dotted"/>
        </w:rPr>
        <w:fldChar w:fldCharType="separate"/>
      </w:r>
      <w:r w:rsidRPr="00355E52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355E52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355E52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355E52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355E52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355E52">
        <w:rPr>
          <w:rFonts w:ascii="Calibri" w:hAnsi="Calibri" w:cs="Arial"/>
          <w:sz w:val="22"/>
          <w:szCs w:val="22"/>
          <w:u w:val="dotted"/>
        </w:rPr>
        <w:fldChar w:fldCharType="end"/>
      </w:r>
      <w:bookmarkEnd w:id="5"/>
      <w:r w:rsidRPr="00355E52">
        <w:rPr>
          <w:rFonts w:ascii="Calibri" w:hAnsi="Calibri" w:cs="Arial"/>
          <w:sz w:val="22"/>
          <w:szCs w:val="22"/>
          <w:u w:val="dotted"/>
        </w:rPr>
        <w:tab/>
      </w:r>
      <w:r w:rsidRPr="00355E52">
        <w:rPr>
          <w:rFonts w:ascii="Calibri" w:hAnsi="Calibri" w:cs="Arial"/>
          <w:sz w:val="22"/>
          <w:szCs w:val="22"/>
          <w:u w:val="dotted"/>
        </w:rPr>
        <w:tab/>
      </w:r>
      <w:r w:rsidRPr="00355E52">
        <w:rPr>
          <w:rFonts w:ascii="Calibri" w:hAnsi="Calibri" w:cs="Arial"/>
          <w:sz w:val="22"/>
          <w:szCs w:val="22"/>
        </w:rPr>
        <w:tab/>
        <w:t xml:space="preserve">Le : </w:t>
      </w:r>
      <w:r w:rsidRPr="00355E52">
        <w:rPr>
          <w:rFonts w:ascii="Calibri" w:hAnsi="Calibri" w:cs="Arial"/>
          <w:sz w:val="22"/>
          <w:szCs w:val="22"/>
          <w:u w:val="dotted"/>
        </w:rPr>
        <w:tab/>
      </w:r>
      <w:r w:rsidRPr="00355E52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6" w:name="Texte11"/>
      <w:r w:rsidRPr="00355E52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Pr="00355E52">
        <w:rPr>
          <w:rFonts w:ascii="Calibri" w:hAnsi="Calibri" w:cs="Arial"/>
          <w:sz w:val="22"/>
          <w:szCs w:val="22"/>
          <w:u w:val="dotted"/>
        </w:rPr>
      </w:r>
      <w:r w:rsidRPr="00355E52">
        <w:rPr>
          <w:rFonts w:ascii="Calibri" w:hAnsi="Calibri" w:cs="Arial"/>
          <w:sz w:val="22"/>
          <w:szCs w:val="22"/>
          <w:u w:val="dotted"/>
        </w:rPr>
        <w:fldChar w:fldCharType="separate"/>
      </w:r>
      <w:r w:rsidRPr="00355E52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355E52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355E52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355E52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355E52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355E52">
        <w:rPr>
          <w:rFonts w:ascii="Calibri" w:hAnsi="Calibri" w:cs="Arial"/>
          <w:sz w:val="22"/>
          <w:szCs w:val="22"/>
          <w:u w:val="dotted"/>
        </w:rPr>
        <w:fldChar w:fldCharType="end"/>
      </w:r>
      <w:bookmarkEnd w:id="6"/>
      <w:r w:rsidRPr="00355E52">
        <w:rPr>
          <w:rFonts w:ascii="Calibri" w:hAnsi="Calibri" w:cs="Arial"/>
          <w:sz w:val="22"/>
          <w:szCs w:val="22"/>
          <w:u w:val="dotted"/>
        </w:rPr>
        <w:tab/>
      </w:r>
      <w:r w:rsidRPr="00355E52">
        <w:rPr>
          <w:rFonts w:ascii="Calibri" w:hAnsi="Calibri" w:cs="Arial"/>
          <w:sz w:val="22"/>
          <w:szCs w:val="22"/>
          <w:u w:val="dotted"/>
        </w:rPr>
        <w:tab/>
      </w:r>
      <w:r w:rsidRPr="00355E52">
        <w:rPr>
          <w:rFonts w:ascii="Calibri" w:hAnsi="Calibri" w:cs="Arial"/>
          <w:sz w:val="22"/>
          <w:szCs w:val="22"/>
          <w:u w:val="dotted"/>
        </w:rPr>
        <w:tab/>
      </w:r>
    </w:p>
    <w:p w:rsidR="007A244F" w:rsidRPr="00235866" w:rsidRDefault="007A244F" w:rsidP="007A244F">
      <w:pPr>
        <w:rPr>
          <w:rFonts w:ascii="Calibri" w:hAnsi="Calibri" w:cs="Arial"/>
          <w:b/>
          <w:sz w:val="22"/>
          <w:szCs w:val="22"/>
        </w:rPr>
      </w:pPr>
    </w:p>
    <w:p w:rsidR="007A244F" w:rsidRPr="00235866" w:rsidRDefault="007A244F" w:rsidP="007A244F">
      <w:pPr>
        <w:tabs>
          <w:tab w:val="left" w:pos="5040"/>
        </w:tabs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Signature de l’intéressé(e)</w:t>
      </w:r>
      <w:r w:rsidRPr="00235866">
        <w:rPr>
          <w:rFonts w:ascii="Calibri" w:hAnsi="Calibri" w:cs="Arial"/>
          <w:b/>
          <w:sz w:val="22"/>
          <w:szCs w:val="22"/>
        </w:rPr>
        <w:tab/>
        <w:t xml:space="preserve">Nom, Prénom, et </w:t>
      </w:r>
      <w:r>
        <w:rPr>
          <w:rFonts w:ascii="Calibri" w:hAnsi="Calibri" w:cs="Arial"/>
          <w:b/>
          <w:sz w:val="22"/>
          <w:szCs w:val="22"/>
        </w:rPr>
        <w:t>s</w:t>
      </w:r>
      <w:r w:rsidRPr="00235866">
        <w:rPr>
          <w:rFonts w:ascii="Calibri" w:hAnsi="Calibri" w:cs="Arial"/>
          <w:b/>
          <w:sz w:val="22"/>
          <w:szCs w:val="22"/>
        </w:rPr>
        <w:t>ignature du RLE/n+1</w:t>
      </w:r>
    </w:p>
    <w:p w:rsidR="00C81571" w:rsidRDefault="00C81571"/>
    <w:sectPr w:rsidR="00C8157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1571" w:rsidRDefault="00C81571" w:rsidP="00C81571">
      <w:r>
        <w:separator/>
      </w:r>
    </w:p>
  </w:endnote>
  <w:endnote w:type="continuationSeparator" w:id="0">
    <w:p w:rsidR="00C81571" w:rsidRDefault="00C81571" w:rsidP="00C81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2B1" w:rsidRDefault="007B52B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2B1" w:rsidRDefault="007B52B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2B1" w:rsidRDefault="007B52B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1571" w:rsidRDefault="00C81571" w:rsidP="00C81571">
      <w:r>
        <w:separator/>
      </w:r>
    </w:p>
  </w:footnote>
  <w:footnote w:type="continuationSeparator" w:id="0">
    <w:p w:rsidR="00C81571" w:rsidRDefault="00C81571" w:rsidP="00C815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2B1" w:rsidRDefault="007B52B1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1861"/>
      <w:gridCol w:w="7427"/>
    </w:tblGrid>
    <w:tr w:rsidR="00C81571" w:rsidRPr="00E324E1" w:rsidTr="007B64B4">
      <w:tc>
        <w:tcPr>
          <w:tcW w:w="1908" w:type="dxa"/>
        </w:tcPr>
        <w:p w:rsidR="00C81571" w:rsidRPr="00E324E1" w:rsidRDefault="00C81571" w:rsidP="007B64B4">
          <w:pPr>
            <w:pStyle w:val="En-tte"/>
            <w:ind w:firstLine="180"/>
            <w:rPr>
              <w:rFonts w:ascii="Calibri" w:hAnsi="Calibri"/>
            </w:rPr>
          </w:pPr>
          <w:r>
            <w:rPr>
              <w:rFonts w:ascii="Calibri" w:hAnsi="Calibri"/>
              <w:noProof/>
            </w:rPr>
            <w:drawing>
              <wp:inline distT="0" distB="0" distL="0" distR="0" wp14:anchorId="5100B8B8" wp14:editId="23BB5758">
                <wp:extent cx="828040" cy="905510"/>
                <wp:effectExtent l="0" t="0" r="0" b="8890"/>
                <wp:docPr id="2" name="Image 2" descr="logo EEDF coule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EEDF couleu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040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80" w:type="dxa"/>
        </w:tcPr>
        <w:p w:rsidR="00C81571" w:rsidRPr="005C74AB" w:rsidRDefault="00C81571" w:rsidP="007B64B4">
          <w:pPr>
            <w:widowControl/>
            <w:suppressAutoHyphens w:val="0"/>
            <w:autoSpaceDE w:val="0"/>
            <w:adjustRightInd w:val="0"/>
            <w:rPr>
              <w:rFonts w:ascii="Calibri" w:hAnsi="Calibri" w:cs="Calibri-Bold"/>
              <w:b/>
              <w:bCs/>
              <w:kern w:val="0"/>
              <w:sz w:val="20"/>
              <w:szCs w:val="20"/>
            </w:rPr>
          </w:pPr>
          <w:bookmarkStart w:id="7" w:name="_GoBack"/>
          <w:bookmarkEnd w:id="7"/>
        </w:p>
        <w:p w:rsidR="00C81571" w:rsidRPr="007B52B1" w:rsidRDefault="00C81571" w:rsidP="007B64B4">
          <w:pPr>
            <w:widowControl/>
            <w:suppressAutoHyphens w:val="0"/>
            <w:autoSpaceDE w:val="0"/>
            <w:adjustRightInd w:val="0"/>
            <w:rPr>
              <w:rFonts w:ascii="Calibri" w:hAnsi="Calibri" w:cs="Calibri-Bold"/>
              <w:b/>
              <w:bCs/>
              <w:kern w:val="0"/>
              <w:sz w:val="20"/>
              <w:szCs w:val="20"/>
            </w:rPr>
          </w:pPr>
          <w:r w:rsidRPr="007B52B1">
            <w:rPr>
              <w:rFonts w:ascii="Calibri" w:hAnsi="Calibri" w:cs="Calibri-Bold"/>
              <w:b/>
              <w:bCs/>
              <w:noProof/>
              <w:kern w:val="0"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5127F0B" wp14:editId="11A0AC0E">
                    <wp:simplePos x="0" y="0"/>
                    <wp:positionH relativeFrom="column">
                      <wp:posOffset>-68580</wp:posOffset>
                    </wp:positionH>
                    <wp:positionV relativeFrom="paragraph">
                      <wp:posOffset>33020</wp:posOffset>
                    </wp:positionV>
                    <wp:extent cx="0" cy="575945"/>
                    <wp:effectExtent l="7620" t="13970" r="11430" b="10160"/>
                    <wp:wrapNone/>
                    <wp:docPr id="3" name="Connecteur droit avec flèch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575945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B634418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3" o:spid="_x0000_s1026" type="#_x0000_t32" style="position:absolute;margin-left:-5.4pt;margin-top:2.6pt;width:0;height:4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" strokeweight=".5pt">
                    <v:stroke dashstyle="1 1" endcap="round"/>
                  </v:shape>
                </w:pict>
              </mc:Fallback>
            </mc:AlternateContent>
          </w:r>
          <w:r w:rsidRPr="007B52B1">
            <w:rPr>
              <w:rFonts w:ascii="Calibri" w:hAnsi="Calibri" w:cs="Calibri-Bold"/>
              <w:b/>
              <w:bCs/>
              <w:kern w:val="0"/>
              <w:sz w:val="20"/>
              <w:szCs w:val="20"/>
            </w:rPr>
            <w:t>POLE RESSOURCES HUMAINES</w:t>
          </w:r>
        </w:p>
        <w:p w:rsidR="00C81571" w:rsidRPr="007B52B1" w:rsidRDefault="00C81571" w:rsidP="007B64B4">
          <w:pPr>
            <w:widowControl/>
            <w:suppressAutoHyphens w:val="0"/>
            <w:autoSpaceDE w:val="0"/>
            <w:adjustRightInd w:val="0"/>
            <w:rPr>
              <w:rFonts w:ascii="Calibri" w:hAnsi="Calibri" w:cs="Calibri-Bold"/>
              <w:b/>
              <w:bCs/>
              <w:kern w:val="0"/>
              <w:sz w:val="20"/>
              <w:szCs w:val="20"/>
            </w:rPr>
          </w:pPr>
          <w:r w:rsidRPr="007B52B1">
            <w:rPr>
              <w:rFonts w:ascii="Calibri" w:hAnsi="Calibri" w:cs="Calibri-Bold"/>
              <w:b/>
              <w:bCs/>
              <w:kern w:val="0"/>
              <w:sz w:val="20"/>
              <w:szCs w:val="20"/>
            </w:rPr>
            <w:t xml:space="preserve">Dossier : </w:t>
          </w:r>
          <w:r w:rsidRPr="007B52B1">
            <w:rPr>
              <w:rFonts w:ascii="Calibri" w:hAnsi="Calibri" w:cs="Calibri-Bold"/>
              <w:bCs/>
              <w:noProof/>
              <w:kern w:val="0"/>
              <w:sz w:val="20"/>
              <w:szCs w:val="20"/>
            </w:rPr>
            <w:t>Formulaire administratif</w:t>
          </w:r>
          <w:r w:rsidRPr="007B52B1">
            <w:rPr>
              <w:rFonts w:ascii="Calibri" w:hAnsi="Calibri" w:cs="Calibri-Bold"/>
              <w:b/>
              <w:bCs/>
              <w:noProof/>
              <w:kern w:val="0"/>
              <w:sz w:val="20"/>
              <w:szCs w:val="20"/>
            </w:rPr>
            <w:t xml:space="preserve"> </w:t>
          </w:r>
        </w:p>
        <w:p w:rsidR="00C81571" w:rsidRPr="00E324E1" w:rsidRDefault="00C81571" w:rsidP="007B52B1">
          <w:pPr>
            <w:widowControl/>
            <w:suppressAutoHyphens w:val="0"/>
            <w:autoSpaceDE w:val="0"/>
            <w:adjustRightInd w:val="0"/>
            <w:spacing w:line="276" w:lineRule="auto"/>
            <w:rPr>
              <w:rFonts w:ascii="Calibri" w:hAnsi="Calibri" w:cs="Calibri-Bold"/>
              <w:b/>
              <w:bCs/>
              <w:noProof/>
              <w:kern w:val="0"/>
              <w:sz w:val="18"/>
              <w:szCs w:val="18"/>
            </w:rPr>
          </w:pPr>
          <w:r w:rsidRPr="007B52B1">
            <w:rPr>
              <w:rFonts w:ascii="Calibri" w:hAnsi="Calibri" w:cs="Calibri-Bold"/>
              <w:b/>
              <w:bCs/>
              <w:noProof/>
              <w:kern w:val="0"/>
              <w:sz w:val="20"/>
              <w:szCs w:val="20"/>
            </w:rPr>
            <w:t xml:space="preserve">Date : </w:t>
          </w:r>
          <w:r w:rsidR="007B52B1" w:rsidRPr="007B52B1">
            <w:rPr>
              <w:sz w:val="20"/>
              <w:szCs w:val="20"/>
            </w:rPr>
            <w:t>18/01/2019</w:t>
          </w:r>
        </w:p>
      </w:tc>
    </w:tr>
  </w:tbl>
  <w:p w:rsidR="00C81571" w:rsidRDefault="00C81571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2B1" w:rsidRDefault="007B52B1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clip_image001"/>
      </v:shape>
    </w:pict>
  </w:numPicBullet>
  <w:numPicBullet w:numPicBulletId="1">
    <w:pict>
      <v:shape id="_x0000_i1027" type="#_x0000_t75" style="width:215.25pt;height:245.25pt" o:bullet="t">
        <v:imagedata r:id="rId2" o:title="bleu"/>
      </v:shape>
    </w:pict>
  </w:numPicBullet>
  <w:abstractNum w:abstractNumId="0" w15:restartNumberingAfterBreak="0">
    <w:nsid w:val="17DE5FE0"/>
    <w:multiLevelType w:val="hybridMultilevel"/>
    <w:tmpl w:val="6F4C178C"/>
    <w:lvl w:ilvl="0" w:tplc="60A645E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D4D83"/>
    <w:multiLevelType w:val="hybridMultilevel"/>
    <w:tmpl w:val="DF26627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03258"/>
    <w:multiLevelType w:val="hybridMultilevel"/>
    <w:tmpl w:val="17E4E254"/>
    <w:lvl w:ilvl="0" w:tplc="F5A441D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80E8E"/>
    <w:multiLevelType w:val="hybridMultilevel"/>
    <w:tmpl w:val="59EE923E"/>
    <w:lvl w:ilvl="0" w:tplc="F5A441D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97F7A"/>
    <w:multiLevelType w:val="hybridMultilevel"/>
    <w:tmpl w:val="9D2290CE"/>
    <w:lvl w:ilvl="0" w:tplc="040C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3E20E1"/>
    <w:multiLevelType w:val="hybridMultilevel"/>
    <w:tmpl w:val="42925FB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formatting="1" w:enforcement="0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571"/>
    <w:rsid w:val="001E44C0"/>
    <w:rsid w:val="0028040F"/>
    <w:rsid w:val="002A11F6"/>
    <w:rsid w:val="003D26F6"/>
    <w:rsid w:val="00540227"/>
    <w:rsid w:val="00623410"/>
    <w:rsid w:val="007A244F"/>
    <w:rsid w:val="007B52B1"/>
    <w:rsid w:val="00874D4A"/>
    <w:rsid w:val="00A37EA2"/>
    <w:rsid w:val="00C81571"/>
    <w:rsid w:val="00D0290E"/>
    <w:rsid w:val="00D2563B"/>
    <w:rsid w:val="00F47849"/>
    <w:rsid w:val="00F73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2"/>
    </o:shapelayout>
  </w:shapeDefaults>
  <w:decimalSymbol w:val=","/>
  <w:listSeparator w:val=";"/>
  <w15:docId w15:val="{CD9EFF4C-DEDA-400D-9528-0A339CBEA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571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kern w:val="3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1571"/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1571"/>
    <w:rPr>
      <w:rFonts w:ascii="Tahoma" w:eastAsia="Arial Unicode MS" w:hAnsi="Tahoma" w:cs="Tahoma"/>
      <w:kern w:val="3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C8157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81571"/>
    <w:rPr>
      <w:rFonts w:ascii="Times New Roman" w:eastAsia="Arial Unicode MS" w:hAnsi="Times New Roman" w:cs="Tahoma"/>
      <w:kern w:val="3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8157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81571"/>
    <w:rPr>
      <w:rFonts w:ascii="Times New Roman" w:eastAsia="Arial Unicode MS" w:hAnsi="Times New Roman" w:cs="Tahoma"/>
      <w:kern w:val="3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C815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A24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282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package" Target="embeddings/Feuille_de_calcul_Microsoft_Excel1.xlsx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54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Veronique PAULIN</dc:creator>
  <cp:lastModifiedBy>EEDF - Julietta MARIE-CALIXTE</cp:lastModifiedBy>
  <cp:revision>4</cp:revision>
  <cp:lastPrinted>2015-07-21T16:57:00Z</cp:lastPrinted>
  <dcterms:created xsi:type="dcterms:W3CDTF">2016-01-22T16:31:00Z</dcterms:created>
  <dcterms:modified xsi:type="dcterms:W3CDTF">2019-01-17T11:19:00Z</dcterms:modified>
</cp:coreProperties>
</file>